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45C8E07D"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865B1A">
        <w:rPr>
          <w:rStyle w:val="normaltextrun"/>
          <w:rFonts w:ascii="Calibri" w:hAnsi="Calibri" w:cs="Calibri"/>
          <w:sz w:val="28"/>
          <w:szCs w:val="28"/>
        </w:rPr>
        <w:t>6</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60380DBA" w:rsidR="00576175" w:rsidRDefault="00576175" w:rsidP="007A4BE9">
            <w:pPr>
              <w:jc w:val="left"/>
              <w:rPr>
                <w:rFonts w:cs="Arial"/>
              </w:rPr>
            </w:pPr>
            <w:r>
              <w:rPr>
                <w:rFonts w:cs="Arial"/>
              </w:rPr>
              <w:t>LOT</w:t>
            </w:r>
            <w:r w:rsidR="002E0EE4">
              <w:rPr>
                <w:rFonts w:cs="Arial"/>
              </w:rPr>
              <w:t xml:space="preserve"> 0</w:t>
            </w:r>
            <w:r w:rsidR="00865B1A">
              <w:rPr>
                <w:rFonts w:cs="Arial"/>
              </w:rPr>
              <w:t>6</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13087E68" w14:textId="77777777" w:rsidR="00C0010B" w:rsidRDefault="00865B1A"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865B1A">
              <w:rPr>
                <w:rFonts w:ascii="Cambria" w:eastAsia="Cambria" w:hAnsi="Cambria" w:cs="Cambria"/>
              </w:rPr>
              <w:t xml:space="preserve">Menuiseries intérieures - mobilier sur mesure </w:t>
            </w:r>
          </w:p>
          <w:p w14:paraId="5D2D6229" w14:textId="720F0005" w:rsidR="00865B1A" w:rsidRDefault="00865B1A"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5E86A7C8" w14:textId="77777777" w:rsidR="005332C5" w:rsidRDefault="005332C5"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03F534C8" w14:textId="77777777" w:rsidR="005332C5" w:rsidRDefault="005332C5" w:rsidP="005332C5">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208BC34D" w14:textId="77777777" w:rsidR="007C18EB" w:rsidRDefault="007C18EB" w:rsidP="007C18EB"/>
    <w:p w14:paraId="7941C38C" w14:textId="77777777" w:rsidR="005332C5" w:rsidRDefault="005332C5" w:rsidP="007C18EB"/>
    <w:p w14:paraId="40B57C63" w14:textId="77777777" w:rsidR="005332C5" w:rsidRDefault="005332C5"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32C5"/>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5B1A"/>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2.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3.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4.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464</Words>
  <Characters>2653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2025-10-07T07:45:00Z</dcterms:created>
  <dcterms:modified xsi:type="dcterms:W3CDTF">2025-10-07T08:36:00Z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